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7ED9" w14:textId="3D0F35FB" w:rsidR="00C444A6" w:rsidRPr="00F346E9" w:rsidRDefault="00000000">
      <w:pPr>
        <w:tabs>
          <w:tab w:val="center" w:pos="4536"/>
          <w:tab w:val="right" w:pos="9072"/>
        </w:tabs>
        <w:spacing w:before="120" w:afterLines="0" w:after="0" w:line="260" w:lineRule="auto"/>
        <w:rPr>
          <w:rFonts w:ascii="Arial" w:hAnsi="Arial" w:cs="Arial"/>
          <w:b/>
          <w:i/>
          <w:iCs/>
          <w:kern w:val="0"/>
          <w:sz w:val="22"/>
          <w:szCs w:val="22"/>
        </w:rPr>
      </w:pPr>
      <w:r w:rsidRPr="00F346E9">
        <w:rPr>
          <w:rFonts w:ascii="Arial" w:hAnsi="Arial" w:cs="Arial"/>
          <w:b/>
          <w:i/>
          <w:iCs/>
          <w:kern w:val="0"/>
          <w:sz w:val="22"/>
          <w:szCs w:val="22"/>
          <w:lang w:eastAsia="en-US"/>
        </w:rPr>
        <w:t>3GPP TSG-RAN WG2 Meeting #12</w:t>
      </w:r>
      <w:r w:rsidRPr="00F346E9">
        <w:rPr>
          <w:rFonts w:ascii="Arial" w:hAnsi="Arial" w:cs="Arial" w:hint="eastAsia"/>
          <w:b/>
          <w:i/>
          <w:iCs/>
          <w:kern w:val="0"/>
          <w:sz w:val="22"/>
          <w:szCs w:val="22"/>
        </w:rPr>
        <w:t>9</w:t>
      </w:r>
      <w:r w:rsidRPr="00F346E9">
        <w:rPr>
          <w:rFonts w:ascii="Arial" w:hAnsi="Arial" w:cs="Arial"/>
          <w:b/>
          <w:i/>
          <w:iCs/>
          <w:kern w:val="0"/>
          <w:sz w:val="22"/>
          <w:szCs w:val="22"/>
          <w:lang w:eastAsia="en-US"/>
        </w:rPr>
        <w:tab/>
      </w:r>
      <w:r w:rsidRPr="00F346E9">
        <w:rPr>
          <w:rFonts w:ascii="Arial" w:hAnsi="Arial" w:cs="Arial"/>
          <w:b/>
          <w:i/>
          <w:iCs/>
          <w:kern w:val="0"/>
          <w:sz w:val="22"/>
          <w:szCs w:val="22"/>
          <w:lang w:eastAsia="en-US"/>
        </w:rPr>
        <w:tab/>
      </w:r>
      <w:r w:rsidR="00F346E9" w:rsidRPr="00F346E9">
        <w:rPr>
          <w:rFonts w:ascii="Arial" w:hAnsi="Arial" w:cs="Arial"/>
          <w:b/>
          <w:i/>
          <w:iCs/>
          <w:kern w:val="0"/>
          <w:sz w:val="22"/>
          <w:szCs w:val="22"/>
          <w:lang w:eastAsia="en-US"/>
        </w:rPr>
        <w:t>R2-2500785</w:t>
      </w:r>
    </w:p>
    <w:p w14:paraId="57463694" w14:textId="70B5B1CE" w:rsidR="00C444A6" w:rsidRPr="00F346E9" w:rsidRDefault="00000000">
      <w:pPr>
        <w:tabs>
          <w:tab w:val="center" w:pos="4536"/>
          <w:tab w:val="right" w:pos="9072"/>
        </w:tabs>
        <w:spacing w:before="120" w:afterLines="0" w:after="0" w:line="260" w:lineRule="auto"/>
        <w:rPr>
          <w:rFonts w:ascii="Arial" w:hAnsi="Arial" w:cs="Arial"/>
          <w:b/>
          <w:i/>
          <w:iCs/>
          <w:kern w:val="0"/>
          <w:sz w:val="22"/>
          <w:szCs w:val="22"/>
          <w:lang w:eastAsia="en-US"/>
        </w:rPr>
      </w:pPr>
      <w:r w:rsidRPr="00F346E9">
        <w:rPr>
          <w:rFonts w:ascii="Arial" w:hAnsi="Arial" w:cs="Arial"/>
          <w:b/>
          <w:i/>
          <w:iCs/>
          <w:kern w:val="0"/>
          <w:sz w:val="22"/>
          <w:szCs w:val="22"/>
          <w:lang w:eastAsia="en-US"/>
        </w:rPr>
        <w:t>Athens, Greece, Feb. 17th – 21st, 2025</w:t>
      </w:r>
    </w:p>
    <w:p w14:paraId="3BA8AD66" w14:textId="77777777" w:rsidR="00C444A6" w:rsidRDefault="00C444A6">
      <w:pPr>
        <w:tabs>
          <w:tab w:val="center" w:pos="4536"/>
          <w:tab w:val="right" w:pos="9072"/>
        </w:tabs>
        <w:spacing w:before="120" w:afterLines="0" w:after="0" w:line="260" w:lineRule="auto"/>
        <w:rPr>
          <w:rFonts w:ascii="Arial" w:hAnsi="Arial" w:cs="Arial"/>
          <w:b/>
          <w:bCs/>
          <w:sz w:val="22"/>
          <w:szCs w:val="22"/>
        </w:rPr>
      </w:pPr>
    </w:p>
    <w:p w14:paraId="5110EF88" w14:textId="77777777" w:rsidR="00C444A6"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Data rate control for XR applications</w:t>
      </w:r>
    </w:p>
    <w:p w14:paraId="11C20735" w14:textId="77777777" w:rsidR="00C444A6"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B9B24B7" w14:textId="77777777" w:rsidR="00C444A6"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Pr>
          <w:rFonts w:ascii="Arial" w:hAnsi="Arial" w:hint="eastAsia"/>
          <w:b/>
          <w:sz w:val="22"/>
          <w:szCs w:val="22"/>
        </w:rPr>
        <w:t>6</w:t>
      </w:r>
    </w:p>
    <w:p w14:paraId="69DC5D9D" w14:textId="77777777" w:rsidR="00C444A6"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460047C5" w14:textId="77777777" w:rsidR="00C444A6" w:rsidRDefault="00000000">
      <w:pPr>
        <w:pStyle w:val="Heading1"/>
        <w:spacing w:before="120" w:after="120"/>
        <w:ind w:left="0"/>
        <w:rPr>
          <w:rFonts w:eastAsia="SimSun"/>
        </w:rPr>
      </w:pPr>
      <w:r>
        <w:rPr>
          <w:rFonts w:eastAsia="SimSun" w:hint="eastAsia"/>
        </w:rPr>
        <w:t>Introduction</w:t>
      </w:r>
    </w:p>
    <w:p w14:paraId="13CE3473" w14:textId="77777777" w:rsidR="00C444A6"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 xml:space="preserve">In RAN#105 </w:t>
      </w:r>
      <w:proofErr w:type="gramStart"/>
      <w:r>
        <w:rPr>
          <w:rFonts w:cs="Arial" w:hint="eastAsia"/>
          <w:color w:val="000000"/>
          <w:sz w:val="21"/>
        </w:rPr>
        <w:t>meeting[</w:t>
      </w:r>
      <w:proofErr w:type="gramEnd"/>
      <w:r>
        <w:rPr>
          <w:rFonts w:cs="Arial" w:hint="eastAsia"/>
          <w:color w:val="000000"/>
          <w:sz w:val="21"/>
        </w:rPr>
        <w:t>1], Revised WID on XR (</w:t>
      </w:r>
      <w:proofErr w:type="spellStart"/>
      <w:r>
        <w:rPr>
          <w:rFonts w:cs="Arial" w:hint="eastAsia"/>
          <w:color w:val="000000"/>
          <w:sz w:val="21"/>
        </w:rPr>
        <w:t>eXtended</w:t>
      </w:r>
      <w:proofErr w:type="spellEnd"/>
      <w:r>
        <w:rPr>
          <w:rFonts w:cs="Arial" w:hint="eastAsia"/>
          <w:color w:val="000000"/>
          <w:sz w:val="21"/>
        </w:rPr>
        <w:t xml:space="preserve"> Reality) for NR Phase 3 has been agreed and </w:t>
      </w:r>
      <w:r>
        <w:rPr>
          <w:rFonts w:cs="Arial"/>
          <w:color w:val="000000"/>
          <w:sz w:val="21"/>
        </w:rPr>
        <w:t>the following objective</w:t>
      </w:r>
      <w:r>
        <w:rPr>
          <w:rFonts w:cs="Arial" w:hint="eastAsia"/>
          <w:color w:val="000000"/>
          <w:sz w:val="21"/>
        </w:rPr>
        <w:t xml:space="preserve"> has been included</w:t>
      </w:r>
      <w:r>
        <w:rPr>
          <w:rFonts w:cs="Arial"/>
          <w:color w:val="000000"/>
          <w:sz w:val="21"/>
        </w:rPr>
        <w:t xml:space="preserve">: </w:t>
      </w:r>
    </w:p>
    <w:tbl>
      <w:tblPr>
        <w:tblStyle w:val="TableGrid"/>
        <w:tblW w:w="0" w:type="auto"/>
        <w:tblLook w:val="04A0" w:firstRow="1" w:lastRow="0" w:firstColumn="1" w:lastColumn="0" w:noHBand="0" w:noVBand="1"/>
      </w:tblPr>
      <w:tblGrid>
        <w:gridCol w:w="9650"/>
      </w:tblGrid>
      <w:tr w:rsidR="00C444A6" w14:paraId="57FF4ACD" w14:textId="77777777">
        <w:tc>
          <w:tcPr>
            <w:tcW w:w="9650" w:type="dxa"/>
          </w:tcPr>
          <w:p w14:paraId="68BED81F" w14:textId="77777777" w:rsidR="00C444A6" w:rsidRDefault="00000000">
            <w:pPr>
              <w:pStyle w:val="B1"/>
              <w:spacing w:before="120" w:after="120"/>
            </w:pPr>
            <w:r>
              <w:t>-</w:t>
            </w:r>
            <w:r>
              <w:tab/>
              <w:t xml:space="preserve">Specify uplink congestion </w:t>
            </w:r>
            <w:proofErr w:type="spellStart"/>
            <w:r>
              <w:t>signalling</w:t>
            </w:r>
            <w:proofErr w:type="spellEnd"/>
            <w:r>
              <w:t xml:space="preserve"> [RAN2]: </w:t>
            </w:r>
          </w:p>
          <w:p w14:paraId="7C760DE0" w14:textId="77777777" w:rsidR="00C444A6" w:rsidRDefault="00000000">
            <w:pPr>
              <w:pStyle w:val="B2"/>
              <w:spacing w:before="120" w:after="120"/>
            </w:pPr>
            <w:r>
              <w:t>-</w:t>
            </w:r>
            <w:r>
              <w:tab/>
              <w:t xml:space="preserve">Specify in MAC layer XR rate control </w:t>
            </w:r>
            <w:proofErr w:type="spellStart"/>
            <w:r>
              <w:t>signalling</w:t>
            </w:r>
            <w:proofErr w:type="spellEnd"/>
            <w:r>
              <w:t xml:space="preserve"> over downlink per QoS flow/per DRB to enable faster source rate adaption to uplink congestion.</w:t>
            </w:r>
          </w:p>
        </w:tc>
      </w:tr>
    </w:tbl>
    <w:p w14:paraId="77E58132" w14:textId="77777777" w:rsidR="00C444A6" w:rsidRDefault="00000000">
      <w:pPr>
        <w:pStyle w:val="NormalWeb"/>
        <w:spacing w:before="120" w:beforeAutospacing="0" w:after="120" w:afterAutospacing="0" w:line="315" w:lineRule="atLeast"/>
        <w:rPr>
          <w:rFonts w:cs="Arial"/>
          <w:color w:val="000000"/>
          <w:sz w:val="21"/>
        </w:rPr>
      </w:pPr>
      <w:r>
        <w:rPr>
          <w:rFonts w:cs="Arial"/>
          <w:color w:val="000000"/>
          <w:sz w:val="21"/>
        </w:rPr>
        <w:t>At RAN2#127-</w:t>
      </w:r>
      <w:proofErr w:type="gramStart"/>
      <w:r>
        <w:rPr>
          <w:rFonts w:cs="Arial"/>
          <w:color w:val="000000"/>
          <w:sz w:val="21"/>
        </w:rPr>
        <w:t>bis</w:t>
      </w:r>
      <w:r>
        <w:rPr>
          <w:rFonts w:cs="Arial" w:hint="eastAsia"/>
          <w:color w:val="000000"/>
          <w:sz w:val="21"/>
        </w:rPr>
        <w:t>[</w:t>
      </w:r>
      <w:proofErr w:type="gramEnd"/>
      <w:r>
        <w:rPr>
          <w:rFonts w:cs="Arial" w:hint="eastAsia"/>
          <w:color w:val="000000"/>
          <w:sz w:val="21"/>
        </w:rPr>
        <w:t>2]</w:t>
      </w:r>
      <w:r>
        <w:rPr>
          <w:rFonts w:cs="Arial"/>
          <w:color w:val="000000"/>
          <w:sz w:val="21"/>
        </w:rPr>
        <w:t xml:space="preserve">, it was agreed that further analysis is needed to decide between per-QoS flow vs per DRB indication of XR rate control. It was also agreed to define a new table for bit rate recommendation with better granularity for XR applications. </w:t>
      </w:r>
    </w:p>
    <w:p w14:paraId="3A9A5C7E" w14:textId="77777777" w:rsidR="00C444A6" w:rsidRDefault="00000000">
      <w:pPr>
        <w:spacing w:before="120" w:after="120"/>
      </w:pPr>
      <w:r>
        <w:rPr>
          <w:rFonts w:cs="Arial"/>
          <w:color w:val="000000"/>
        </w:rPr>
        <w:t>At RAN2#12</w:t>
      </w:r>
      <w:r>
        <w:rPr>
          <w:rFonts w:cs="Arial" w:hint="eastAsia"/>
          <w:color w:val="000000"/>
        </w:rPr>
        <w:t>8</w:t>
      </w:r>
      <w:r>
        <w:rPr>
          <w:rFonts w:cs="Arial"/>
          <w:color w:val="000000"/>
        </w:rPr>
        <w:t xml:space="preserve">, </w:t>
      </w:r>
      <w:r>
        <w:rPr>
          <w:rFonts w:hint="eastAsia"/>
        </w:rPr>
        <w:t xml:space="preserve">the following agreements have been </w:t>
      </w:r>
      <w:proofErr w:type="gramStart"/>
      <w:r>
        <w:rPr>
          <w:rFonts w:hint="eastAsia"/>
        </w:rPr>
        <w:t>made[</w:t>
      </w:r>
      <w:proofErr w:type="gramEnd"/>
      <w:r>
        <w:rPr>
          <w:rFonts w:hint="eastAsia"/>
        </w:rPr>
        <w:t>3]:</w:t>
      </w:r>
    </w:p>
    <w:tbl>
      <w:tblPr>
        <w:tblStyle w:val="TableGrid"/>
        <w:tblW w:w="0" w:type="auto"/>
        <w:tblLook w:val="04A0" w:firstRow="1" w:lastRow="0" w:firstColumn="1" w:lastColumn="0" w:noHBand="0" w:noVBand="1"/>
      </w:tblPr>
      <w:tblGrid>
        <w:gridCol w:w="9650"/>
      </w:tblGrid>
      <w:tr w:rsidR="00C444A6" w14:paraId="67E0F761" w14:textId="77777777">
        <w:tc>
          <w:tcPr>
            <w:tcW w:w="10138" w:type="dxa"/>
          </w:tcPr>
          <w:p w14:paraId="4EDB1508" w14:textId="77777777" w:rsidR="00C444A6" w:rsidRPr="0055385F" w:rsidRDefault="00000000" w:rsidP="0055385F">
            <w:pPr>
              <w:pStyle w:val="Agreement"/>
              <w:spacing w:before="120" w:after="120"/>
              <w:ind w:left="359"/>
              <w:rPr>
                <w:b w:val="0"/>
                <w:bCs/>
              </w:rPr>
            </w:pPr>
            <w:r w:rsidRPr="0055385F">
              <w:rPr>
                <w:b w:val="0"/>
                <w:bCs/>
              </w:rPr>
              <w:t>RAN2 confirms it is feasible for RAN to estimate the congestion information at both per-DRB and per-QoS flow level.</w:t>
            </w:r>
          </w:p>
          <w:p w14:paraId="45C2A3C8" w14:textId="77777777" w:rsidR="00C444A6" w:rsidRPr="0055385F" w:rsidRDefault="00000000" w:rsidP="0055385F">
            <w:pPr>
              <w:pStyle w:val="Agreement"/>
              <w:spacing w:before="120" w:after="120"/>
              <w:ind w:left="359"/>
              <w:rPr>
                <w:b w:val="0"/>
                <w:bCs/>
              </w:rPr>
            </w:pPr>
            <w:proofErr w:type="spellStart"/>
            <w:r w:rsidRPr="0055385F">
              <w:rPr>
                <w:b w:val="0"/>
                <w:bCs/>
              </w:rPr>
              <w:t>gNB</w:t>
            </w:r>
            <w:proofErr w:type="spellEnd"/>
            <w:r w:rsidRPr="0055385F">
              <w:rPr>
                <w:b w:val="0"/>
                <w:bCs/>
              </w:rPr>
              <w:t xml:space="preserve"> can be indicated which QoS flows can be throttled. FFS whether this is indicated from UE/CN</w:t>
            </w:r>
          </w:p>
          <w:p w14:paraId="5711FB42" w14:textId="77777777" w:rsidR="00C444A6" w:rsidRDefault="00000000" w:rsidP="0055385F">
            <w:pPr>
              <w:pStyle w:val="Agreement"/>
              <w:spacing w:before="120" w:after="120"/>
              <w:ind w:left="359"/>
            </w:pPr>
            <w:r w:rsidRPr="0055385F">
              <w:rPr>
                <w:b w:val="0"/>
                <w:bCs/>
              </w:rPr>
              <w:t xml:space="preserve">Rate indication from </w:t>
            </w:r>
            <w:proofErr w:type="spellStart"/>
            <w:r w:rsidRPr="0055385F">
              <w:rPr>
                <w:b w:val="0"/>
                <w:bCs/>
              </w:rPr>
              <w:t>gNB</w:t>
            </w:r>
            <w:proofErr w:type="spellEnd"/>
            <w:r w:rsidRPr="0055385F">
              <w:rPr>
                <w:b w:val="0"/>
                <w:bCs/>
              </w:rPr>
              <w:t xml:space="preserve"> to the UE on a per QoS flow level is supported. FFS the details, e.g. if: 1) flows are indicated by MAC CE or 2) by RRC while MAC CE is per DRB.</w:t>
            </w:r>
          </w:p>
        </w:tc>
      </w:tr>
    </w:tbl>
    <w:p w14:paraId="3C7F2D5D" w14:textId="057311F8" w:rsidR="00C444A6" w:rsidRDefault="00000000">
      <w:pPr>
        <w:pStyle w:val="NormalWeb"/>
        <w:spacing w:before="120" w:beforeAutospacing="0" w:after="120" w:afterAutospacing="0" w:line="315" w:lineRule="atLeast"/>
      </w:pPr>
      <w:r>
        <w:rPr>
          <w:rFonts w:cs="Arial" w:hint="eastAsia"/>
          <w:color w:val="000000"/>
          <w:sz w:val="21"/>
        </w:rPr>
        <w:t xml:space="preserve">In this paper, </w:t>
      </w:r>
      <w:r>
        <w:rPr>
          <w:rFonts w:cs="Arial"/>
          <w:color w:val="000000"/>
          <w:sz w:val="21"/>
        </w:rPr>
        <w:t xml:space="preserve">we </w:t>
      </w:r>
      <w:r>
        <w:rPr>
          <w:rFonts w:cs="Arial" w:hint="eastAsia"/>
          <w:color w:val="000000"/>
          <w:sz w:val="21"/>
        </w:rPr>
        <w:t xml:space="preserve">will </w:t>
      </w:r>
      <w:r>
        <w:rPr>
          <w:rFonts w:cs="Arial"/>
          <w:color w:val="000000"/>
          <w:sz w:val="21"/>
        </w:rPr>
        <w:t xml:space="preserve">discuss </w:t>
      </w:r>
      <w:r>
        <w:rPr>
          <w:rFonts w:cs="Arial" w:hint="eastAsia"/>
          <w:color w:val="000000"/>
          <w:sz w:val="21"/>
        </w:rPr>
        <w:t xml:space="preserve">the </w:t>
      </w:r>
      <w:r>
        <w:rPr>
          <w:rFonts w:cs="Arial"/>
          <w:color w:val="000000"/>
          <w:sz w:val="21"/>
        </w:rPr>
        <w:t xml:space="preserve">remaining issues for this and propose a way forward for the XR rate control in Rel-19. </w:t>
      </w:r>
    </w:p>
    <w:p w14:paraId="75FC1C8D" w14:textId="77777777" w:rsidR="00C444A6" w:rsidRDefault="00C444A6">
      <w:pPr>
        <w:spacing w:before="120" w:after="120"/>
        <w:rPr>
          <w:b/>
          <w:bCs/>
        </w:rPr>
      </w:pPr>
    </w:p>
    <w:p w14:paraId="63E05045" w14:textId="77777777" w:rsidR="00C444A6" w:rsidRDefault="00000000">
      <w:pPr>
        <w:pStyle w:val="Heading1"/>
        <w:spacing w:before="120" w:after="120"/>
        <w:ind w:left="0"/>
        <w:rPr>
          <w:rFonts w:eastAsia="SimSun"/>
        </w:rPr>
      </w:pPr>
      <w:r>
        <w:rPr>
          <w:rFonts w:eastAsia="SimSun" w:hint="eastAsia"/>
        </w:rPr>
        <w:t>Discussion</w:t>
      </w:r>
    </w:p>
    <w:p w14:paraId="547FEA1B" w14:textId="77777777" w:rsidR="00681459" w:rsidRDefault="0077033A">
      <w:pPr>
        <w:spacing w:before="120" w:after="120"/>
      </w:pPr>
      <w:r>
        <w:t xml:space="preserve">Based on the agreements at RAN2#128, we need to discuss further how the </w:t>
      </w:r>
      <w:proofErr w:type="spellStart"/>
      <w:r>
        <w:t>gNB</w:t>
      </w:r>
      <w:proofErr w:type="spellEnd"/>
      <w:r>
        <w:t xml:space="preserve"> can configure the XR rate control mechanism. The most flexible way to control the XR rate is to define a per-QoS flow level XR rate control using a MAC CE. However, in order to specify such an approach, work may also be needed in RAN3 to support the necessary </w:t>
      </w:r>
      <w:proofErr w:type="spellStart"/>
      <w:r>
        <w:t>signalling</w:t>
      </w:r>
      <w:proofErr w:type="spellEnd"/>
      <w:r>
        <w:t xml:space="preserve"> between the CU and DU nodes in the network side. If it is preferred in RAN2 to avoid such impact, then one option is to configure the QoS flow level applicability using RRC and then using the MAC CE to perform the dynamic rate control. It should be noted that this makes it slightly less flexible for the </w:t>
      </w:r>
      <w:proofErr w:type="spellStart"/>
      <w:r>
        <w:t>gNB</w:t>
      </w:r>
      <w:proofErr w:type="spellEnd"/>
      <w:r>
        <w:t xml:space="preserve">, in the sense that only one QoS flow per DRB can be rate controlled with this approach. However, the </w:t>
      </w:r>
      <w:proofErr w:type="spellStart"/>
      <w:r>
        <w:t>gNB</w:t>
      </w:r>
      <w:proofErr w:type="spellEnd"/>
      <w:r>
        <w:t xml:space="preserve"> can then also choose to map only one QoS flow that is subject to rate control to such a DRB. </w:t>
      </w:r>
    </w:p>
    <w:p w14:paraId="21371383" w14:textId="0A3C4618" w:rsidR="00681459" w:rsidRPr="0055385F" w:rsidRDefault="00681459">
      <w:pPr>
        <w:spacing w:before="120" w:after="120"/>
        <w:rPr>
          <w:b/>
          <w:bCs/>
        </w:rPr>
      </w:pPr>
      <w:r w:rsidRPr="0055385F">
        <w:rPr>
          <w:b/>
          <w:bCs/>
        </w:rPr>
        <w:t>Observation 1: The MAC based solution to signal the XR rate control on a per QoS flow basis is the most flexible option</w:t>
      </w:r>
      <w:r w:rsidR="00277485">
        <w:rPr>
          <w:b/>
          <w:bCs/>
        </w:rPr>
        <w:t>, but will require changes to RAN3 specs</w:t>
      </w:r>
    </w:p>
    <w:p w14:paraId="5360387E" w14:textId="3FB1344E" w:rsidR="00681459" w:rsidRPr="0055385F" w:rsidRDefault="00681459" w:rsidP="0055385F">
      <w:pPr>
        <w:pStyle w:val="BodyText"/>
        <w:spacing w:before="120"/>
        <w:rPr>
          <w:b/>
          <w:bCs/>
        </w:rPr>
      </w:pPr>
      <w:r w:rsidRPr="0055385F">
        <w:rPr>
          <w:b/>
          <w:bCs/>
        </w:rPr>
        <w:t xml:space="preserve">Observation 2: </w:t>
      </w:r>
      <w:r w:rsidR="00277485">
        <w:rPr>
          <w:b/>
          <w:bCs/>
        </w:rPr>
        <w:t xml:space="preserve">If the </w:t>
      </w:r>
      <w:r w:rsidRPr="0055385F">
        <w:rPr>
          <w:b/>
          <w:bCs/>
        </w:rPr>
        <w:t xml:space="preserve">RRC based approach </w:t>
      </w:r>
      <w:r w:rsidR="00277485">
        <w:rPr>
          <w:b/>
          <w:bCs/>
        </w:rPr>
        <w:t>(</w:t>
      </w:r>
      <w:r w:rsidRPr="0055385F">
        <w:rPr>
          <w:b/>
          <w:bCs/>
        </w:rPr>
        <w:t xml:space="preserve">to configure which QoS flow in a DRB </w:t>
      </w:r>
      <w:r w:rsidR="00277485">
        <w:rPr>
          <w:b/>
          <w:bCs/>
        </w:rPr>
        <w:t>is</w:t>
      </w:r>
      <w:r w:rsidRPr="0055385F">
        <w:rPr>
          <w:b/>
          <w:bCs/>
        </w:rPr>
        <w:t xml:space="preserve"> subject to rate control</w:t>
      </w:r>
      <w:r w:rsidR="00277485">
        <w:rPr>
          <w:b/>
          <w:bCs/>
        </w:rPr>
        <w:t xml:space="preserve">) is adopted, then </w:t>
      </w:r>
      <w:r w:rsidRPr="0055385F">
        <w:rPr>
          <w:b/>
          <w:bCs/>
        </w:rPr>
        <w:t xml:space="preserve">the </w:t>
      </w:r>
      <w:proofErr w:type="spellStart"/>
      <w:r w:rsidRPr="0055385F">
        <w:rPr>
          <w:b/>
          <w:bCs/>
        </w:rPr>
        <w:t>gNB</w:t>
      </w:r>
      <w:proofErr w:type="spellEnd"/>
      <w:r w:rsidRPr="0055385F">
        <w:rPr>
          <w:b/>
          <w:bCs/>
        </w:rPr>
        <w:t xml:space="preserve"> can map </w:t>
      </w:r>
      <w:r w:rsidR="00277485">
        <w:rPr>
          <w:b/>
          <w:bCs/>
        </w:rPr>
        <w:t>at most</w:t>
      </w:r>
      <w:r w:rsidRPr="0055385F">
        <w:rPr>
          <w:b/>
          <w:bCs/>
        </w:rPr>
        <w:t xml:space="preserve"> one XR flow that is subject to rate control per DRB </w:t>
      </w:r>
    </w:p>
    <w:p w14:paraId="31E3EE0F" w14:textId="20CA4A37" w:rsidR="0077033A" w:rsidRDefault="00681459">
      <w:pPr>
        <w:spacing w:before="120" w:after="120"/>
      </w:pPr>
      <w:r>
        <w:t xml:space="preserve">If there is no consensus to go with the per-QoS flow level rate control using a new MAC CE, then, RAN2 should go with the approach of RRC based solution hence. </w:t>
      </w:r>
    </w:p>
    <w:p w14:paraId="16D9F362" w14:textId="22913CC9" w:rsidR="0077033A" w:rsidRDefault="0077033A" w:rsidP="0077033A">
      <w:pPr>
        <w:pStyle w:val="BodyText"/>
        <w:spacing w:before="120"/>
      </w:pPr>
      <w:r>
        <w:t xml:space="preserve">This means that for a given DRB, RRC will configure which QoS flow is subject to rate control. Then the MAC CE will indicate the actual recommended bit rate. So, we suggest the following: </w:t>
      </w:r>
    </w:p>
    <w:p w14:paraId="49C8DCF3" w14:textId="21A6838C" w:rsidR="0077033A" w:rsidRPr="0055385F" w:rsidRDefault="0077033A" w:rsidP="0077033A">
      <w:pPr>
        <w:pStyle w:val="BodyText"/>
        <w:spacing w:before="120"/>
        <w:rPr>
          <w:b/>
          <w:bCs/>
        </w:rPr>
      </w:pPr>
      <w:r w:rsidRPr="0055385F">
        <w:rPr>
          <w:b/>
          <w:bCs/>
        </w:rPr>
        <w:t xml:space="preserve">Proposal 1: </w:t>
      </w:r>
      <w:r w:rsidR="00277485">
        <w:rPr>
          <w:b/>
          <w:bCs/>
        </w:rPr>
        <w:t xml:space="preserve">For the RRC based solution, </w:t>
      </w:r>
      <w:r w:rsidRPr="0055385F">
        <w:rPr>
          <w:b/>
          <w:bCs/>
        </w:rPr>
        <w:t>when more than one QoS flow is mapped to a given DRB, RRC can configure which one of these QoS flows is subject to rate control</w:t>
      </w:r>
    </w:p>
    <w:p w14:paraId="138D44FD" w14:textId="58370E9A" w:rsidR="0077033A" w:rsidRPr="0055385F" w:rsidRDefault="0077033A" w:rsidP="0055385F">
      <w:pPr>
        <w:pStyle w:val="BodyText"/>
        <w:spacing w:before="120"/>
        <w:rPr>
          <w:b/>
          <w:bCs/>
        </w:rPr>
      </w:pPr>
      <w:r w:rsidRPr="0055385F">
        <w:rPr>
          <w:b/>
          <w:bCs/>
        </w:rPr>
        <w:t xml:space="preserve">Proposal 2: </w:t>
      </w:r>
      <w:r w:rsidR="00B20F6D" w:rsidRPr="0055385F">
        <w:rPr>
          <w:b/>
          <w:bCs/>
        </w:rPr>
        <w:t xml:space="preserve">MAC level </w:t>
      </w:r>
      <w:proofErr w:type="spellStart"/>
      <w:r w:rsidR="00B20F6D" w:rsidRPr="0055385F">
        <w:rPr>
          <w:b/>
          <w:bCs/>
        </w:rPr>
        <w:t>signalling</w:t>
      </w:r>
      <w:proofErr w:type="spellEnd"/>
      <w:r w:rsidR="00B20F6D" w:rsidRPr="0055385F">
        <w:rPr>
          <w:b/>
          <w:bCs/>
        </w:rPr>
        <w:t xml:space="preserve"> is used then to enable XR rate control on a per DRB basis </w:t>
      </w:r>
    </w:p>
    <w:p w14:paraId="140D4A73" w14:textId="77777777" w:rsidR="00C444A6" w:rsidRDefault="00C444A6">
      <w:pPr>
        <w:pStyle w:val="BodyText"/>
        <w:spacing w:before="120"/>
        <w:rPr>
          <w:b/>
          <w:bCs/>
        </w:rPr>
      </w:pPr>
    </w:p>
    <w:p w14:paraId="5CEDE269" w14:textId="77777777" w:rsidR="00C444A6" w:rsidRDefault="00000000">
      <w:pPr>
        <w:pStyle w:val="Heading1"/>
        <w:spacing w:before="120" w:after="120"/>
        <w:ind w:left="0"/>
        <w:rPr>
          <w:rFonts w:eastAsia="SimSun"/>
        </w:rPr>
      </w:pPr>
      <w:r>
        <w:rPr>
          <w:rFonts w:eastAsia="SimSun"/>
        </w:rPr>
        <w:t xml:space="preserve">DL rate control </w:t>
      </w:r>
    </w:p>
    <w:p w14:paraId="11564AA7" w14:textId="37B6DD01" w:rsidR="00B20F6D" w:rsidRPr="00B20F6D" w:rsidRDefault="00B20F6D" w:rsidP="00B20F6D">
      <w:pPr>
        <w:pStyle w:val="BodyText"/>
        <w:spacing w:before="120"/>
      </w:pPr>
      <w:r>
        <w:t xml:space="preserve">At RAN plenary, the rate control for DL was discussed further and it was agreed that </w:t>
      </w:r>
      <w:r w:rsidRPr="00B20F6D">
        <w:t xml:space="preserve">RAN2 </w:t>
      </w:r>
      <w:r>
        <w:t>can</w:t>
      </w:r>
      <w:r w:rsidRPr="00B20F6D">
        <w:t xml:space="preserve"> continue working on the uplink solution and to liaise with SA2/SA4 if there are issues if the same approach would be extended for the DL as well, assuming the solution extension for DL.</w:t>
      </w:r>
      <w:r>
        <w:t xml:space="preserve"> This also requires that the solution doesn’t require too much additional work in RAN2 to specify this. </w:t>
      </w:r>
    </w:p>
    <w:p w14:paraId="2D13BEAC" w14:textId="405467D1" w:rsidR="00C444A6" w:rsidRDefault="00000000">
      <w:pPr>
        <w:spacing w:before="120" w:after="120"/>
      </w:pPr>
      <w:r>
        <w:t xml:space="preserve">The existing recommended bit rate MAC CE works for both UL and DL rate control. Whilst UL rate control is negotiated between the lower layers and application layer within the UE, the DL rate control requires application-level </w:t>
      </w:r>
      <w:proofErr w:type="spellStart"/>
      <w:r>
        <w:t>signalling</w:t>
      </w:r>
      <w:proofErr w:type="spellEnd"/>
      <w:r>
        <w:t xml:space="preserve"> between the UE and the application server. This is done by the UE by initiating end-to-end bit rate adaptation with its peer (UE or application server) using application-level </w:t>
      </w:r>
      <w:proofErr w:type="spellStart"/>
      <w:r>
        <w:t>signalling</w:t>
      </w:r>
      <w:proofErr w:type="spellEnd"/>
      <w:r>
        <w:t xml:space="preserve">. Such </w:t>
      </w:r>
      <w:proofErr w:type="spellStart"/>
      <w:r>
        <w:t>signalling</w:t>
      </w:r>
      <w:proofErr w:type="spellEnd"/>
      <w:r>
        <w:t xml:space="preserve"> is feasible already with the existing recommended bit rate MAC control mechanism. Thus, by reusing this existing mechanism it is also possible to control the DL bit rates for XR applications. Thus, it is proposed not to artificially restrict the new rate control mechanism for RAN level recommended bit rate to just UL. </w:t>
      </w:r>
    </w:p>
    <w:p w14:paraId="50315D14" w14:textId="6265D6A0" w:rsidR="00B20F6D" w:rsidRPr="00B20F6D" w:rsidRDefault="00B20F6D" w:rsidP="0055385F">
      <w:pPr>
        <w:pStyle w:val="BodyText"/>
        <w:spacing w:before="120"/>
      </w:pPr>
      <w:r>
        <w:t>Based on the agreement at RAN plenary, it is proposed to send and LS to SA2/SA4 informing them RAN2 intends to reuse the new XR rate control mechanism for both UL and DL (similar to what is specified toda</w:t>
      </w:r>
      <w:r w:rsidR="00F112F3">
        <w:t xml:space="preserve">y). </w:t>
      </w:r>
    </w:p>
    <w:p w14:paraId="69868EDE" w14:textId="4CD14BCC" w:rsidR="00C444A6" w:rsidRDefault="00000000">
      <w:pPr>
        <w:pStyle w:val="BodyText"/>
        <w:spacing w:before="120"/>
        <w:rPr>
          <w:b/>
          <w:bCs/>
        </w:rPr>
      </w:pPr>
      <w:r>
        <w:rPr>
          <w:b/>
          <w:bCs/>
        </w:rPr>
        <w:t xml:space="preserve">Proposal </w:t>
      </w:r>
      <w:r>
        <w:rPr>
          <w:rFonts w:hint="eastAsia"/>
          <w:b/>
          <w:bCs/>
        </w:rPr>
        <w:t>3</w:t>
      </w:r>
      <w:r>
        <w:rPr>
          <w:b/>
          <w:bCs/>
        </w:rPr>
        <w:t xml:space="preserve">: </w:t>
      </w:r>
      <w:r w:rsidR="00F112F3">
        <w:rPr>
          <w:b/>
          <w:bCs/>
        </w:rPr>
        <w:t xml:space="preserve">Send an LS to SA2/SA4 (CC RAN3) informing them that RAN2 intends to reuse the new XR rate control mechanism for both UL and DL (similar to what is specified today for the recommended bit rate MAC CE). </w:t>
      </w:r>
      <w:r>
        <w:rPr>
          <w:b/>
          <w:bCs/>
        </w:rPr>
        <w:t xml:space="preserve"> </w:t>
      </w:r>
    </w:p>
    <w:p w14:paraId="6A23D84D" w14:textId="77777777" w:rsidR="00C444A6" w:rsidRDefault="00C444A6">
      <w:pPr>
        <w:spacing w:before="120" w:after="120"/>
        <w:rPr>
          <w:b/>
          <w:bCs/>
        </w:rPr>
      </w:pPr>
    </w:p>
    <w:p w14:paraId="7C2DF343" w14:textId="77777777" w:rsidR="00C444A6" w:rsidRDefault="00000000">
      <w:pPr>
        <w:pStyle w:val="Heading1"/>
        <w:spacing w:before="120" w:after="120"/>
        <w:ind w:left="0"/>
        <w:rPr>
          <w:rFonts w:eastAsia="SimSun"/>
        </w:rPr>
      </w:pPr>
      <w:r>
        <w:rPr>
          <w:rFonts w:eastAsia="SimSun"/>
        </w:rPr>
        <w:t>Conclusion</w:t>
      </w:r>
    </w:p>
    <w:p w14:paraId="539D1BC8" w14:textId="77777777" w:rsidR="00277485" w:rsidRPr="0055385F" w:rsidRDefault="00277485" w:rsidP="00277485">
      <w:pPr>
        <w:spacing w:before="120" w:after="120"/>
        <w:rPr>
          <w:i/>
          <w:iCs/>
        </w:rPr>
      </w:pPr>
      <w:r w:rsidRPr="0055385F">
        <w:rPr>
          <w:i/>
          <w:iCs/>
        </w:rPr>
        <w:t>Observation 1: The MAC based solution to signal the XR rate control on a per QoS flow basis is the most flexible option, but will require changes to RAN3 specs</w:t>
      </w:r>
    </w:p>
    <w:p w14:paraId="4D3FA8D6" w14:textId="77777777" w:rsidR="00277485" w:rsidRPr="0055385F" w:rsidRDefault="00277485" w:rsidP="00277485">
      <w:pPr>
        <w:pStyle w:val="BodyText"/>
        <w:spacing w:before="120"/>
        <w:rPr>
          <w:i/>
          <w:iCs/>
        </w:rPr>
      </w:pPr>
      <w:r w:rsidRPr="0055385F">
        <w:rPr>
          <w:i/>
          <w:iCs/>
        </w:rPr>
        <w:t xml:space="preserve">Observation 2: If the RRC based approach (to configure which QoS flow in a DRB is subject to rate control) is adopted, then the </w:t>
      </w:r>
      <w:proofErr w:type="spellStart"/>
      <w:r w:rsidRPr="0055385F">
        <w:rPr>
          <w:i/>
          <w:iCs/>
        </w:rPr>
        <w:t>gNB</w:t>
      </w:r>
      <w:proofErr w:type="spellEnd"/>
      <w:r w:rsidRPr="0055385F">
        <w:rPr>
          <w:i/>
          <w:iCs/>
        </w:rPr>
        <w:t xml:space="preserve"> can map at most one XR flow that is subject to rate control per DRB </w:t>
      </w:r>
    </w:p>
    <w:p w14:paraId="341DC7B1" w14:textId="77777777" w:rsidR="00277485" w:rsidRPr="00277485" w:rsidRDefault="00277485" w:rsidP="0055385F">
      <w:pPr>
        <w:spacing w:before="120" w:after="120"/>
      </w:pPr>
    </w:p>
    <w:p w14:paraId="4D4BC356" w14:textId="77777777" w:rsidR="00480405" w:rsidRPr="008D1221" w:rsidRDefault="00480405" w:rsidP="00480405">
      <w:pPr>
        <w:pStyle w:val="BodyText"/>
        <w:spacing w:before="120"/>
        <w:rPr>
          <w:b/>
          <w:bCs/>
        </w:rPr>
      </w:pPr>
      <w:r w:rsidRPr="008D1221">
        <w:rPr>
          <w:b/>
          <w:bCs/>
        </w:rPr>
        <w:t xml:space="preserve">Proposal 1: </w:t>
      </w:r>
      <w:r>
        <w:rPr>
          <w:b/>
          <w:bCs/>
        </w:rPr>
        <w:t xml:space="preserve">For the RRC based solution, </w:t>
      </w:r>
      <w:r w:rsidRPr="008D1221">
        <w:rPr>
          <w:b/>
          <w:bCs/>
        </w:rPr>
        <w:t>when more than one QoS flow is mapped to a given DRB, RRC can configure which one of these QoS flows is subject to rate control</w:t>
      </w:r>
    </w:p>
    <w:p w14:paraId="6E91950E" w14:textId="77777777" w:rsidR="00480405" w:rsidRPr="008D1221" w:rsidRDefault="00480405" w:rsidP="00480405">
      <w:pPr>
        <w:pStyle w:val="BodyText"/>
        <w:spacing w:before="120"/>
        <w:rPr>
          <w:b/>
          <w:bCs/>
        </w:rPr>
      </w:pPr>
      <w:r w:rsidRPr="008D1221">
        <w:rPr>
          <w:b/>
          <w:bCs/>
        </w:rPr>
        <w:t xml:space="preserve">Proposal 2: MAC level </w:t>
      </w:r>
      <w:proofErr w:type="spellStart"/>
      <w:r w:rsidRPr="008D1221">
        <w:rPr>
          <w:b/>
          <w:bCs/>
        </w:rPr>
        <w:t>signalling</w:t>
      </w:r>
      <w:proofErr w:type="spellEnd"/>
      <w:r w:rsidRPr="008D1221">
        <w:rPr>
          <w:b/>
          <w:bCs/>
        </w:rPr>
        <w:t xml:space="preserve"> is used then to enable XR rate control on a per DRB basis </w:t>
      </w:r>
    </w:p>
    <w:p w14:paraId="1853391D" w14:textId="1F6C18A4" w:rsidR="00C444A6" w:rsidRDefault="00F112F3">
      <w:pPr>
        <w:pStyle w:val="BodyText"/>
        <w:spacing w:before="120"/>
        <w:rPr>
          <w:b/>
          <w:bCs/>
        </w:rPr>
      </w:pPr>
      <w:r>
        <w:rPr>
          <w:b/>
          <w:bCs/>
        </w:rPr>
        <w:t xml:space="preserve">Proposal </w:t>
      </w:r>
      <w:r>
        <w:rPr>
          <w:rFonts w:hint="eastAsia"/>
          <w:b/>
          <w:bCs/>
        </w:rPr>
        <w:t>3</w:t>
      </w:r>
      <w:r>
        <w:rPr>
          <w:b/>
          <w:bCs/>
        </w:rPr>
        <w:t xml:space="preserve">: Send an LS to SA2/SA4 (CC RAN3) informing them that RAN2 intends to reuse the new XR rate control mechanism for both UL and DL (similar to what is specified today for the recommended bit rate MAC CE).    </w:t>
      </w:r>
    </w:p>
    <w:p w14:paraId="673D9063" w14:textId="77777777" w:rsidR="00F112F3" w:rsidRDefault="00F112F3">
      <w:pPr>
        <w:pStyle w:val="BodyText"/>
        <w:spacing w:before="120"/>
        <w:rPr>
          <w:b/>
          <w:bCs/>
        </w:rPr>
      </w:pPr>
    </w:p>
    <w:p w14:paraId="4BC2D70A" w14:textId="77777777" w:rsidR="00C444A6" w:rsidRDefault="00000000">
      <w:pPr>
        <w:pStyle w:val="Heading1"/>
        <w:spacing w:before="120" w:after="120"/>
        <w:ind w:left="0"/>
        <w:rPr>
          <w:rFonts w:eastAsia="SimSun"/>
        </w:rPr>
      </w:pPr>
      <w:r>
        <w:rPr>
          <w:rFonts w:eastAsia="SimSun" w:hint="eastAsia"/>
        </w:rPr>
        <w:t>Reference</w:t>
      </w:r>
      <w:r>
        <w:rPr>
          <w:rFonts w:eastAsia="SimSun"/>
        </w:rPr>
        <w:t>s</w:t>
      </w:r>
    </w:p>
    <w:p w14:paraId="0CC07BBE" w14:textId="77777777" w:rsidR="00C444A6" w:rsidRDefault="00C444A6">
      <w:pPr>
        <w:pStyle w:val="ListParagraph"/>
        <w:numPr>
          <w:ilvl w:val="0"/>
          <w:numId w:val="8"/>
        </w:numPr>
        <w:spacing w:before="120" w:after="120"/>
        <w:rPr>
          <w:rFonts w:eastAsia="SimSun"/>
        </w:rPr>
      </w:pPr>
      <w:hyperlink r:id="rId9" w:history="1">
        <w:r w:rsidRPr="0055385F">
          <w:rPr>
            <w:rFonts w:eastAsia="SimSun"/>
          </w:rPr>
          <w:t>RP-241771</w:t>
        </w:r>
      </w:hyperlink>
      <w:r w:rsidRPr="0055385F">
        <w:rPr>
          <w:rFonts w:eastAsia="SimSun"/>
        </w:rPr>
        <w:t xml:space="preserve"> </w:t>
      </w:r>
      <w:r>
        <w:rPr>
          <w:rFonts w:eastAsia="SimSun"/>
        </w:rPr>
        <w:t>Revised WID on XR (</w:t>
      </w:r>
      <w:proofErr w:type="spellStart"/>
      <w:r>
        <w:rPr>
          <w:rFonts w:eastAsia="SimSun"/>
        </w:rPr>
        <w:t>eXtended</w:t>
      </w:r>
      <w:proofErr w:type="spellEnd"/>
      <w:r>
        <w:rPr>
          <w:rFonts w:eastAsia="SimSun"/>
        </w:rPr>
        <w:t xml:space="preserve"> Reality) for NR Phase 3</w:t>
      </w:r>
      <w:r>
        <w:rPr>
          <w:rFonts w:eastAsia="SimSun"/>
        </w:rPr>
        <w:tab/>
        <w:t>RA</w:t>
      </w:r>
      <w:r w:rsidRPr="0055385F">
        <w:rPr>
          <w:rFonts w:eastAsia="SimSun"/>
        </w:rPr>
        <w:t>N#105</w:t>
      </w:r>
    </w:p>
    <w:p w14:paraId="4F57EB15" w14:textId="77777777" w:rsidR="00C444A6" w:rsidRPr="0055385F" w:rsidRDefault="00000000" w:rsidP="0055385F">
      <w:pPr>
        <w:pStyle w:val="ListParagraph"/>
        <w:numPr>
          <w:ilvl w:val="0"/>
          <w:numId w:val="8"/>
        </w:numPr>
        <w:spacing w:before="120" w:after="120" w:line="315" w:lineRule="atLeast"/>
      </w:pPr>
      <w:r w:rsidRPr="0055385F">
        <w:rPr>
          <w:rFonts w:eastAsia="SimSun"/>
        </w:rPr>
        <w:t>Draft_RAN2_127b_Meeting_Report_v1</w:t>
      </w:r>
    </w:p>
    <w:p w14:paraId="7AE27445" w14:textId="77777777" w:rsidR="00C444A6" w:rsidRPr="0055385F" w:rsidRDefault="00000000" w:rsidP="0055385F">
      <w:pPr>
        <w:pStyle w:val="ListParagraph"/>
        <w:numPr>
          <w:ilvl w:val="0"/>
          <w:numId w:val="8"/>
        </w:numPr>
        <w:spacing w:before="120" w:after="120" w:line="315" w:lineRule="atLeast"/>
      </w:pPr>
      <w:r w:rsidRPr="0055385F">
        <w:rPr>
          <w:rFonts w:eastAsia="SimSun"/>
        </w:rPr>
        <w:t>Draft_RAN2_128_Meeting_Report_v1</w:t>
      </w:r>
    </w:p>
    <w:p w14:paraId="1EE1AF5A" w14:textId="77777777" w:rsidR="00C444A6" w:rsidRDefault="00000000">
      <w:pPr>
        <w:pStyle w:val="ListParagraph"/>
        <w:numPr>
          <w:ilvl w:val="0"/>
          <w:numId w:val="8"/>
        </w:numPr>
        <w:spacing w:before="120" w:after="120"/>
        <w:rPr>
          <w:rFonts w:eastAsia="SimSun"/>
        </w:rPr>
      </w:pPr>
      <w:r>
        <w:rPr>
          <w:rStyle w:val="Hyperlink"/>
          <w:rFonts w:eastAsia="SimSun" w:hint="eastAsia"/>
          <w:color w:val="auto"/>
          <w:u w:val="none"/>
        </w:rPr>
        <w:t>3GPP TS 38.321, V18.2.0 (2024-06), NR; Medium Access Control (MAC) protocol specification</w:t>
      </w:r>
    </w:p>
    <w:p w14:paraId="5310DED2" w14:textId="77777777" w:rsidR="00C444A6" w:rsidRDefault="00C444A6">
      <w:pPr>
        <w:pStyle w:val="References"/>
        <w:numPr>
          <w:ilvl w:val="0"/>
          <w:numId w:val="0"/>
        </w:numPr>
        <w:spacing w:before="120" w:after="120"/>
      </w:pPr>
    </w:p>
    <w:sectPr w:rsidR="00C444A6">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312E9" w14:textId="77777777" w:rsidR="00552E35" w:rsidRDefault="00552E35">
      <w:pPr>
        <w:spacing w:before="120" w:after="120" w:line="240" w:lineRule="auto"/>
      </w:pPr>
      <w:r>
        <w:separator/>
      </w:r>
    </w:p>
  </w:endnote>
  <w:endnote w:type="continuationSeparator" w:id="0">
    <w:p w14:paraId="79CECB50" w14:textId="77777777" w:rsidR="00552E35" w:rsidRDefault="00552E3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0DFD" w14:textId="77777777" w:rsidR="00C444A6" w:rsidRDefault="00C444A6">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74B2" w14:textId="77777777" w:rsidR="00C444A6"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03CDF85C" wp14:editId="0FBD9A39">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7D2240B" w14:textId="77777777" w:rsidR="00C444A6"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2F9A" w14:textId="77777777" w:rsidR="00C444A6" w:rsidRDefault="00C444A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D0BF" w14:textId="77777777" w:rsidR="00552E35" w:rsidRDefault="00552E35">
      <w:pPr>
        <w:spacing w:before="120" w:after="120"/>
      </w:pPr>
      <w:r>
        <w:separator/>
      </w:r>
    </w:p>
  </w:footnote>
  <w:footnote w:type="continuationSeparator" w:id="0">
    <w:p w14:paraId="328B6346" w14:textId="77777777" w:rsidR="00552E35" w:rsidRDefault="00552E3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C215" w14:textId="77777777" w:rsidR="00C444A6" w:rsidRDefault="00C444A6">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E054" w14:textId="77777777" w:rsidR="00C444A6" w:rsidRDefault="00C444A6">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2DF7" w14:textId="77777777" w:rsidR="00C444A6" w:rsidRDefault="00C444A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103"/>
        </w:tabs>
        <w:ind w:left="1103" w:hanging="360"/>
      </w:pPr>
      <w:rPr>
        <w:rFonts w:ascii="Symbol" w:hAnsi="Symbol" w:hint="default"/>
        <w:b/>
        <w:i w:val="0"/>
        <w:color w:val="auto"/>
        <w:sz w:val="22"/>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357"/>
        </w:tabs>
        <w:ind w:left="-357" w:hanging="360"/>
      </w:pPr>
      <w:rPr>
        <w:rFonts w:ascii="Wingdings" w:hAnsi="Wingdings" w:hint="default"/>
      </w:rPr>
    </w:lvl>
    <w:lvl w:ilvl="3">
      <w:start w:val="1"/>
      <w:numFmt w:val="bullet"/>
      <w:lvlText w:val=""/>
      <w:lvlJc w:val="left"/>
      <w:pPr>
        <w:tabs>
          <w:tab w:val="left" w:pos="363"/>
        </w:tabs>
        <w:ind w:left="363" w:hanging="360"/>
      </w:pPr>
      <w:rPr>
        <w:rFonts w:ascii="Symbol" w:hAnsi="Symbol" w:hint="default"/>
      </w:rPr>
    </w:lvl>
    <w:lvl w:ilvl="4">
      <w:start w:val="1"/>
      <w:numFmt w:val="bullet"/>
      <w:lvlText w:val="o"/>
      <w:lvlJc w:val="left"/>
      <w:pPr>
        <w:tabs>
          <w:tab w:val="left" w:pos="1083"/>
        </w:tabs>
        <w:ind w:left="1083" w:hanging="360"/>
      </w:pPr>
      <w:rPr>
        <w:rFonts w:ascii="Courier New" w:hAnsi="Courier New" w:cs="Courier New" w:hint="default"/>
      </w:rPr>
    </w:lvl>
    <w:lvl w:ilvl="5">
      <w:start w:val="1"/>
      <w:numFmt w:val="bullet"/>
      <w:lvlText w:val=""/>
      <w:lvlJc w:val="left"/>
      <w:pPr>
        <w:tabs>
          <w:tab w:val="left" w:pos="1803"/>
        </w:tabs>
        <w:ind w:left="1803" w:hanging="360"/>
      </w:pPr>
      <w:rPr>
        <w:rFonts w:ascii="Wingdings" w:hAnsi="Wingdings" w:hint="default"/>
      </w:rPr>
    </w:lvl>
    <w:lvl w:ilvl="6">
      <w:start w:val="1"/>
      <w:numFmt w:val="bullet"/>
      <w:lvlText w:val=""/>
      <w:lvlJc w:val="left"/>
      <w:pPr>
        <w:tabs>
          <w:tab w:val="left" w:pos="2523"/>
        </w:tabs>
        <w:ind w:left="2523" w:hanging="360"/>
      </w:pPr>
      <w:rPr>
        <w:rFonts w:ascii="Symbol" w:hAnsi="Symbol" w:hint="default"/>
      </w:rPr>
    </w:lvl>
    <w:lvl w:ilvl="7">
      <w:start w:val="1"/>
      <w:numFmt w:val="bullet"/>
      <w:lvlText w:val="o"/>
      <w:lvlJc w:val="left"/>
      <w:pPr>
        <w:tabs>
          <w:tab w:val="left" w:pos="3243"/>
        </w:tabs>
        <w:ind w:left="3243" w:hanging="360"/>
      </w:pPr>
      <w:rPr>
        <w:rFonts w:ascii="Courier New" w:hAnsi="Courier New" w:cs="Courier New" w:hint="default"/>
      </w:rPr>
    </w:lvl>
    <w:lvl w:ilvl="8">
      <w:start w:val="1"/>
      <w:numFmt w:val="bullet"/>
      <w:lvlText w:val=""/>
      <w:lvlJc w:val="left"/>
      <w:pPr>
        <w:tabs>
          <w:tab w:val="left" w:pos="3963"/>
        </w:tabs>
        <w:ind w:left="3963" w:hanging="360"/>
      </w:pPr>
      <w:rPr>
        <w:rFonts w:ascii="Wingdings" w:hAnsi="Wingdings" w:hint="default"/>
      </w:rPr>
    </w:lvl>
  </w:abstractNum>
  <w:num w:numId="1" w16cid:durableId="1598362965">
    <w:abstractNumId w:val="3"/>
  </w:num>
  <w:num w:numId="2" w16cid:durableId="2047096370">
    <w:abstractNumId w:val="6"/>
  </w:num>
  <w:num w:numId="3" w16cid:durableId="1102723178">
    <w:abstractNumId w:val="0"/>
  </w:num>
  <w:num w:numId="4" w16cid:durableId="611982607">
    <w:abstractNumId w:val="1"/>
  </w:num>
  <w:num w:numId="5" w16cid:durableId="1167329975">
    <w:abstractNumId w:val="8"/>
  </w:num>
  <w:num w:numId="6" w16cid:durableId="242881733">
    <w:abstractNumId w:val="5"/>
  </w:num>
  <w:num w:numId="7" w16cid:durableId="640622469">
    <w:abstractNumId w:val="4"/>
  </w:num>
  <w:num w:numId="8" w16cid:durableId="1885673198">
    <w:abstractNumId w:val="2"/>
  </w:num>
  <w:num w:numId="9" w16cid:durableId="18781989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1F56"/>
    <w:rsid w:val="00050423"/>
    <w:rsid w:val="00051F4E"/>
    <w:rsid w:val="000529AC"/>
    <w:rsid w:val="00071FB7"/>
    <w:rsid w:val="00072FB0"/>
    <w:rsid w:val="0007790D"/>
    <w:rsid w:val="00077A1A"/>
    <w:rsid w:val="00090D39"/>
    <w:rsid w:val="00093DF3"/>
    <w:rsid w:val="000A15BE"/>
    <w:rsid w:val="000A168E"/>
    <w:rsid w:val="000A4031"/>
    <w:rsid w:val="000C1A96"/>
    <w:rsid w:val="000C1CDE"/>
    <w:rsid w:val="000C7E3D"/>
    <w:rsid w:val="000D0462"/>
    <w:rsid w:val="000D627E"/>
    <w:rsid w:val="000E2433"/>
    <w:rsid w:val="000F28CA"/>
    <w:rsid w:val="001009B8"/>
    <w:rsid w:val="00103457"/>
    <w:rsid w:val="00103906"/>
    <w:rsid w:val="0011476F"/>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77485"/>
    <w:rsid w:val="00282069"/>
    <w:rsid w:val="0029516D"/>
    <w:rsid w:val="00297949"/>
    <w:rsid w:val="002A3D98"/>
    <w:rsid w:val="002B12B6"/>
    <w:rsid w:val="002B402B"/>
    <w:rsid w:val="002B4661"/>
    <w:rsid w:val="002C43E0"/>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B6C"/>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056"/>
    <w:rsid w:val="003A1DCE"/>
    <w:rsid w:val="003A4365"/>
    <w:rsid w:val="003A6BBE"/>
    <w:rsid w:val="003A7EAD"/>
    <w:rsid w:val="003B53DF"/>
    <w:rsid w:val="003D1DE1"/>
    <w:rsid w:val="003D44C6"/>
    <w:rsid w:val="003D5CFD"/>
    <w:rsid w:val="003E2C2B"/>
    <w:rsid w:val="003F7415"/>
    <w:rsid w:val="004003D2"/>
    <w:rsid w:val="00417B25"/>
    <w:rsid w:val="004209E1"/>
    <w:rsid w:val="0042238B"/>
    <w:rsid w:val="00440E60"/>
    <w:rsid w:val="00450C17"/>
    <w:rsid w:val="004527B1"/>
    <w:rsid w:val="004545A5"/>
    <w:rsid w:val="004557D2"/>
    <w:rsid w:val="004608F6"/>
    <w:rsid w:val="00464D85"/>
    <w:rsid w:val="004724B4"/>
    <w:rsid w:val="00472B06"/>
    <w:rsid w:val="00477655"/>
    <w:rsid w:val="00480405"/>
    <w:rsid w:val="0048120F"/>
    <w:rsid w:val="00482706"/>
    <w:rsid w:val="00490434"/>
    <w:rsid w:val="004A142B"/>
    <w:rsid w:val="004A2759"/>
    <w:rsid w:val="004A5D1D"/>
    <w:rsid w:val="004A699E"/>
    <w:rsid w:val="004B44A9"/>
    <w:rsid w:val="004C1A54"/>
    <w:rsid w:val="004D2637"/>
    <w:rsid w:val="004D6C78"/>
    <w:rsid w:val="004E6999"/>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52E35"/>
    <w:rsid w:val="0055385F"/>
    <w:rsid w:val="005644F6"/>
    <w:rsid w:val="00564BCB"/>
    <w:rsid w:val="00570231"/>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81459"/>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033A"/>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21EB"/>
    <w:rsid w:val="00922624"/>
    <w:rsid w:val="00923BDA"/>
    <w:rsid w:val="0093617A"/>
    <w:rsid w:val="009411A5"/>
    <w:rsid w:val="00942AEE"/>
    <w:rsid w:val="00946A7C"/>
    <w:rsid w:val="00946FAF"/>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2219"/>
    <w:rsid w:val="00A05A33"/>
    <w:rsid w:val="00A14F22"/>
    <w:rsid w:val="00A171E5"/>
    <w:rsid w:val="00A17810"/>
    <w:rsid w:val="00A212A7"/>
    <w:rsid w:val="00A21523"/>
    <w:rsid w:val="00A26720"/>
    <w:rsid w:val="00A33BD9"/>
    <w:rsid w:val="00A40C3F"/>
    <w:rsid w:val="00A4182C"/>
    <w:rsid w:val="00A438B0"/>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1ED1"/>
    <w:rsid w:val="00AC24BF"/>
    <w:rsid w:val="00AD56C4"/>
    <w:rsid w:val="00AD7FE5"/>
    <w:rsid w:val="00AE5530"/>
    <w:rsid w:val="00AF050A"/>
    <w:rsid w:val="00B031EF"/>
    <w:rsid w:val="00B07839"/>
    <w:rsid w:val="00B11405"/>
    <w:rsid w:val="00B12602"/>
    <w:rsid w:val="00B138E9"/>
    <w:rsid w:val="00B179E3"/>
    <w:rsid w:val="00B20F6D"/>
    <w:rsid w:val="00B21480"/>
    <w:rsid w:val="00B245AA"/>
    <w:rsid w:val="00B24F76"/>
    <w:rsid w:val="00B26F06"/>
    <w:rsid w:val="00B34FF8"/>
    <w:rsid w:val="00B43645"/>
    <w:rsid w:val="00B5181A"/>
    <w:rsid w:val="00B52BE9"/>
    <w:rsid w:val="00B54730"/>
    <w:rsid w:val="00B56091"/>
    <w:rsid w:val="00B60F6C"/>
    <w:rsid w:val="00B663FA"/>
    <w:rsid w:val="00B71A78"/>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444A6"/>
    <w:rsid w:val="00C5791E"/>
    <w:rsid w:val="00C625E3"/>
    <w:rsid w:val="00C65B20"/>
    <w:rsid w:val="00C67AE3"/>
    <w:rsid w:val="00C76271"/>
    <w:rsid w:val="00C829B3"/>
    <w:rsid w:val="00C855D2"/>
    <w:rsid w:val="00C925E7"/>
    <w:rsid w:val="00C93053"/>
    <w:rsid w:val="00CA03EE"/>
    <w:rsid w:val="00CA09F5"/>
    <w:rsid w:val="00CA152B"/>
    <w:rsid w:val="00CA6BF4"/>
    <w:rsid w:val="00CB03D7"/>
    <w:rsid w:val="00CB046A"/>
    <w:rsid w:val="00CB7FB3"/>
    <w:rsid w:val="00CC01B0"/>
    <w:rsid w:val="00CC11A8"/>
    <w:rsid w:val="00CD5E4A"/>
    <w:rsid w:val="00CD62C4"/>
    <w:rsid w:val="00CD71E9"/>
    <w:rsid w:val="00CE32ED"/>
    <w:rsid w:val="00CF0062"/>
    <w:rsid w:val="00CF25E8"/>
    <w:rsid w:val="00CF4293"/>
    <w:rsid w:val="00D06F00"/>
    <w:rsid w:val="00D0740C"/>
    <w:rsid w:val="00D1043B"/>
    <w:rsid w:val="00D14578"/>
    <w:rsid w:val="00D17260"/>
    <w:rsid w:val="00D22C2E"/>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1355"/>
    <w:rsid w:val="00E05651"/>
    <w:rsid w:val="00E068AA"/>
    <w:rsid w:val="00E258FC"/>
    <w:rsid w:val="00E30348"/>
    <w:rsid w:val="00E339EA"/>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12F3"/>
    <w:rsid w:val="00F143A1"/>
    <w:rsid w:val="00F1480F"/>
    <w:rsid w:val="00F179F3"/>
    <w:rsid w:val="00F2072B"/>
    <w:rsid w:val="00F263C6"/>
    <w:rsid w:val="00F34277"/>
    <w:rsid w:val="00F346E9"/>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D7CC0"/>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2369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0B4D87"/>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73E6A"/>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D02E02"/>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540CA8"/>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469E4"/>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10DEA"/>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5B6313"/>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BDAD"/>
  <w15:docId w15:val="{99933C74-80B6-4952-A611-69539B3E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clear" w:pos="1103"/>
        <w:tab w:val="left" w:pos="1619"/>
        <w:tab w:val="left" w:pos="2363"/>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77033A"/>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5</cp:revision>
  <dcterms:created xsi:type="dcterms:W3CDTF">2025-02-06T12:21:00Z</dcterms:created>
  <dcterms:modified xsi:type="dcterms:W3CDTF">2025-02-07T08:13:00Z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